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Sweetness: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200 being sweetest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0 being most bland</w:t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60"/>
        <w:gridCol w:w="1890"/>
        <w:gridCol w:w="1380"/>
        <w:gridCol w:w="1410"/>
        <w:gridCol w:w="1560"/>
        <w:gridCol w:w="1560"/>
        <w:tblGridChange w:id="0">
          <w:tblGrid>
            <w:gridCol w:w="1560"/>
            <w:gridCol w:w="1890"/>
            <w:gridCol w:w="1380"/>
            <w:gridCol w:w="141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Carb Tested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Type of Carb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Sweetness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Texture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galactose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influences structure of glycoprotein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maltose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digestion of starch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glucose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helps body functions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cellulose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polysaccharide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pale yellow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condensed 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structural help for plants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sucrose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starch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polysaccharide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powder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fructose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monosaccharide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granulated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energy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2e table.docx</dc:title>
</cp:coreProperties>
</file>